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footer1.xml.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2.jpeg" ContentType="image/jpeg"/>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right"/>
        <w:rPr/>
      </w:pPr>
      <w:r>
        <w:rPr/>
        <w:t>MEDIJIMA</w:t>
      </w:r>
    </w:p>
    <w:p>
      <w:pPr>
        <w:pStyle w:val="Normal"/>
        <w:jc w:val="right"/>
        <w:rPr/>
      </w:pPr>
      <w:r>
        <w:rPr/>
        <w:tab/>
      </w:r>
    </w:p>
    <w:p>
      <w:pPr>
        <w:pStyle w:val="Normal"/>
        <w:jc w:val="center"/>
        <w:rPr/>
      </w:pPr>
      <w:r>
        <w:rPr/>
      </w:r>
    </w:p>
    <w:p>
      <w:pPr>
        <w:pStyle w:val="Normal"/>
        <w:jc w:val="left"/>
        <w:rPr/>
      </w:pPr>
      <w:r>
        <w:rPr/>
        <w:t>Pula, 2</w:t>
      </w:r>
      <w:r>
        <w:rPr/>
        <w:t>9</w:t>
      </w:r>
      <w:r>
        <w:rPr/>
        <w:t xml:space="preserve">. </w:t>
      </w:r>
      <w:r>
        <w:rPr>
          <w:rFonts w:eastAsia="Droid Sans Fallback" w:cs="Calibri"/>
          <w:color w:val="00000A"/>
          <w:sz w:val="24"/>
          <w:szCs w:val="24"/>
          <w:lang w:val="hr-HR" w:eastAsia="en-US" w:bidi="ar-SA"/>
        </w:rPr>
        <w:t xml:space="preserve">lipnja </w:t>
      </w:r>
      <w:r>
        <w:rPr/>
        <w:t>2022.</w:t>
      </w:r>
    </w:p>
    <w:p>
      <w:pPr>
        <w:pStyle w:val="Normal"/>
        <w:jc w:val="center"/>
        <w:rPr/>
      </w:pPr>
      <w:r>
        <w:rPr/>
      </w:r>
    </w:p>
    <w:p>
      <w:pPr>
        <w:pStyle w:val="Normal"/>
        <w:jc w:val="center"/>
        <w:rPr>
          <w:b/>
          <w:b/>
          <w:bCs/>
        </w:rPr>
      </w:pPr>
      <w:r>
        <w:rPr>
          <w:b/>
          <w:bCs/>
        </w:rPr>
      </w:r>
    </w:p>
    <w:p>
      <w:pPr>
        <w:pStyle w:val="Normal"/>
        <w:jc w:val="both"/>
        <w:rPr/>
      </w:pPr>
      <w:r>
        <w:rPr>
          <w:b/>
          <w:bCs/>
        </w:rPr>
        <w:t xml:space="preserve">Priopćenje: </w:t>
      </w:r>
      <w:r>
        <w:rPr>
          <w:b/>
          <w:bCs/>
        </w:rPr>
        <w:t>Zelena Istra s</w:t>
      </w:r>
      <w:r>
        <w:rPr>
          <w:rFonts w:eastAsia="Droid Sans Fallback" w:cs="Calibri"/>
          <w:b/>
          <w:bCs/>
          <w:color w:val="00000A"/>
          <w:kern w:val="0"/>
          <w:sz w:val="24"/>
          <w:szCs w:val="24"/>
          <w:lang w:val="hr-HR" w:eastAsia="en-US" w:bidi="ar-SA"/>
        </w:rPr>
        <w:t xml:space="preserve"> </w:t>
      </w:r>
      <w:r>
        <w:rPr>
          <w:b/>
          <w:bCs/>
        </w:rPr>
        <w:t xml:space="preserve">partnerima izdala novi </w:t>
      </w:r>
      <w:r>
        <w:rPr>
          <w:b/>
          <w:bCs/>
        </w:rPr>
        <w:t xml:space="preserve">priručnik </w:t>
      </w:r>
      <w:r>
        <w:rPr>
          <w:b/>
          <w:bCs/>
        </w:rPr>
        <w:t xml:space="preserve">za edukaciju mladih </w:t>
      </w:r>
      <w:r>
        <w:rPr>
          <w:b/>
          <w:bCs/>
        </w:rPr>
        <w:t>„Alati za učenje – alati za održivi razvoj”</w:t>
      </w:r>
    </w:p>
    <w:p>
      <w:pPr>
        <w:pStyle w:val="Normal"/>
        <w:jc w:val="both"/>
        <w:rPr>
          <w:b/>
          <w:b/>
          <w:bCs/>
        </w:rPr>
      </w:pPr>
      <w:r>
        <w:rPr/>
      </w:r>
    </w:p>
    <w:p>
      <w:pPr>
        <w:pStyle w:val="Normal"/>
        <w:jc w:val="left"/>
        <w:rPr/>
      </w:pPr>
      <w:r>
        <w:rPr>
          <w:rFonts w:eastAsia="Droid Sans Fallback" w:cs="Calibri"/>
          <w:b w:val="false"/>
          <w:bCs w:val="false"/>
          <w:color w:val="00000A"/>
          <w:kern w:val="0"/>
          <w:sz w:val="24"/>
          <w:szCs w:val="24"/>
          <w:lang w:val="hr-HR" w:eastAsia="en-US" w:bidi="ar-SA"/>
        </w:rPr>
        <w:t xml:space="preserve">Tri okolišne organizacije, Zelena Istra, Inštitut za politike prostora – IPoP i Legambiente Lombardia izdale su u lipnju 2022. novi priručnik pod nazivom „Alati za učenje – alati za održivi razvoj”. </w:t>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t>„</w:t>
      </w:r>
      <w:r>
        <w:rPr>
          <w:rFonts w:eastAsia="Droid Sans Fallback" w:cs="Calibri"/>
          <w:b w:val="false"/>
          <w:bCs w:val="false"/>
          <w:color w:val="00000A"/>
          <w:kern w:val="0"/>
          <w:sz w:val="24"/>
          <w:szCs w:val="24"/>
          <w:lang w:val="hr-HR" w:eastAsia="en-US" w:bidi="ar-SA"/>
        </w:rPr>
        <w:t>Alati za učenje – alati za održivi razvoj” priručnik je za moderno, na kompetencije usmjereno podučavanje nastavnika o održivom razvoju. Priručnik je namijenjen i svim osobama koje rade s mladima iz organizacija civilnog društva koje se već bave ili će se, nadahnute priručnikom, tek početi baviti temama održivog razvoja.</w:t>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t xml:space="preserve">Priručnik uključuje podroban opis osam inovativnih alata, odnosno metoda za neformalno učenje kojima se već niz godina u svom radu s mladima uspješno koriste tri </w:t>
      </w:r>
      <w:r>
        <w:rPr>
          <w:rFonts w:eastAsia="Droid Sans Fallback" w:cs="Calibri"/>
          <w:b w:val="false"/>
          <w:bCs w:val="false"/>
          <w:color w:val="00000A"/>
          <w:kern w:val="0"/>
          <w:sz w:val="24"/>
          <w:szCs w:val="24"/>
          <w:lang w:val="hr-HR" w:eastAsia="en-US" w:bidi="ar-SA"/>
        </w:rPr>
        <w:t xml:space="preserve">spomenute </w:t>
      </w:r>
      <w:r>
        <w:rPr>
          <w:rFonts w:eastAsia="Droid Sans Fallback" w:cs="Calibri"/>
          <w:b w:val="false"/>
          <w:bCs w:val="false"/>
          <w:color w:val="00000A"/>
          <w:kern w:val="0"/>
          <w:sz w:val="24"/>
          <w:szCs w:val="24"/>
          <w:lang w:val="hr-HR" w:eastAsia="en-US" w:bidi="ar-SA"/>
        </w:rPr>
        <w:t xml:space="preserve">organizacije civilnog društva. </w:t>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t xml:space="preserve">Alati su usmjereni na tri tematska područja – prostorno uređenje, smanjenje nastanka otpada te klimatske promjene. U priručniku </w:t>
      </w:r>
      <w:r>
        <w:rPr>
          <w:rFonts w:eastAsia="Droid Sans Fallback" w:cs="Calibri"/>
          <w:b w:val="false"/>
          <w:bCs w:val="false"/>
          <w:color w:val="00000A"/>
          <w:kern w:val="0"/>
          <w:sz w:val="24"/>
          <w:szCs w:val="24"/>
          <w:lang w:val="hr-HR" w:eastAsia="en-US" w:bidi="ar-SA"/>
        </w:rPr>
        <w:t>je st</w:t>
      </w:r>
      <w:r>
        <w:rPr>
          <w:rFonts w:eastAsia="Droid Sans Fallback" w:cs="Calibri"/>
          <w:b w:val="false"/>
          <w:bCs w:val="false"/>
          <w:color w:val="00000A"/>
          <w:kern w:val="0"/>
          <w:sz w:val="24"/>
          <w:szCs w:val="24"/>
          <w:lang w:val="hr-HR" w:eastAsia="en-US" w:bidi="ar-SA"/>
        </w:rPr>
        <w:t xml:space="preserve">oga </w:t>
      </w:r>
      <w:r>
        <w:rPr>
          <w:rFonts w:eastAsia="Droid Sans Fallback" w:cs="Calibri"/>
          <w:b w:val="false"/>
          <w:bCs w:val="false"/>
          <w:color w:val="00000A"/>
          <w:kern w:val="0"/>
          <w:sz w:val="24"/>
          <w:szCs w:val="24"/>
          <w:lang w:val="hr-HR" w:eastAsia="en-US" w:bidi="ar-SA"/>
        </w:rPr>
        <w:t>moguće</w:t>
      </w:r>
      <w:r>
        <w:rPr>
          <w:rFonts w:eastAsia="Droid Sans Fallback" w:cs="Calibri"/>
          <w:b w:val="false"/>
          <w:bCs w:val="false"/>
          <w:color w:val="00000A"/>
          <w:kern w:val="0"/>
          <w:sz w:val="24"/>
          <w:szCs w:val="24"/>
          <w:lang w:val="hr-HR" w:eastAsia="en-US" w:bidi="ar-SA"/>
        </w:rPr>
        <w:t xml:space="preserve"> pronaći sve što </w:t>
      </w:r>
      <w:r>
        <w:rPr>
          <w:rFonts w:eastAsia="Droid Sans Fallback" w:cs="Calibri"/>
          <w:b w:val="false"/>
          <w:bCs w:val="false"/>
          <w:color w:val="00000A"/>
          <w:kern w:val="0"/>
          <w:sz w:val="24"/>
          <w:szCs w:val="24"/>
          <w:lang w:val="hr-HR" w:eastAsia="en-US" w:bidi="ar-SA"/>
        </w:rPr>
        <w:t xml:space="preserve">je potrebno </w:t>
      </w:r>
      <w:r>
        <w:rPr>
          <w:rFonts w:eastAsia="Droid Sans Fallback" w:cs="Calibri"/>
          <w:b w:val="false"/>
          <w:bCs w:val="false"/>
          <w:color w:val="00000A"/>
          <w:kern w:val="0"/>
          <w:sz w:val="24"/>
          <w:szCs w:val="24"/>
          <w:lang w:val="hr-HR" w:eastAsia="en-US" w:bidi="ar-SA"/>
        </w:rPr>
        <w:t xml:space="preserve">znati o organizaciji i realizaciji sajma razmjene, simulacije UN-ove Konferencije o klimatskim promjenama, urbane šetnje, </w:t>
      </w:r>
      <w:r>
        <w:rPr>
          <w:rFonts w:eastAsia="Droid Sans Fallback" w:cs="Calibri"/>
          <w:b w:val="false"/>
          <w:bCs w:val="false"/>
          <w:color w:val="00000A"/>
          <w:kern w:val="0"/>
          <w:sz w:val="24"/>
          <w:szCs w:val="24"/>
          <w:lang w:val="hr-HR" w:eastAsia="en-US" w:bidi="ar-SA"/>
        </w:rPr>
        <w:t>kao i drugih alata za rad s mladima.</w:t>
      </w:r>
      <w:r>
        <w:rPr>
          <w:rFonts w:eastAsia="Droid Sans Fallback" w:cs="Calibri"/>
          <w:b w:val="false"/>
          <w:bCs w:val="false"/>
          <w:color w:val="00000A"/>
          <w:kern w:val="0"/>
          <w:sz w:val="24"/>
          <w:szCs w:val="24"/>
          <w:lang w:val="hr-HR" w:eastAsia="en-US" w:bidi="ar-SA"/>
        </w:rPr>
        <w:t xml:space="preserve"> </w:t>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t xml:space="preserve">Priručnik predlaže na koji način uključiti mlade, daje upute za provedbu metoda po koracima, prezentira ishode učenja te metode za procjenu usvojenosti ishoda učenja od strane mladih učenika. </w:t>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t xml:space="preserve">Dostupan je u elektroničkom </w:t>
      </w:r>
      <w:r>
        <w:rPr>
          <w:rFonts w:eastAsia="Droid Sans Fallback" w:cs="Calibri"/>
          <w:b w:val="false"/>
          <w:bCs w:val="false"/>
          <w:color w:val="00000A"/>
          <w:kern w:val="0"/>
          <w:sz w:val="24"/>
          <w:szCs w:val="24"/>
          <w:lang w:val="hr-HR" w:eastAsia="en-US" w:bidi="ar-SA"/>
        </w:rPr>
        <w:t xml:space="preserve">i tiskanom </w:t>
      </w:r>
      <w:r>
        <w:rPr>
          <w:rFonts w:eastAsia="Droid Sans Fallback" w:cs="Calibri"/>
          <w:b w:val="false"/>
          <w:bCs w:val="false"/>
          <w:color w:val="00000A"/>
          <w:kern w:val="0"/>
          <w:sz w:val="24"/>
          <w:szCs w:val="24"/>
          <w:lang w:val="hr-HR" w:eastAsia="en-US" w:bidi="ar-SA"/>
        </w:rPr>
        <w:t>obliku na hrvatskom, talijanskom, slovenskom i engleskom jeziku.</w:t>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r>
    </w:p>
    <w:p>
      <w:pPr>
        <w:pStyle w:val="Normal"/>
        <w:tabs>
          <w:tab w:val="clear" w:pos="720"/>
          <w:tab w:val="left" w:pos="8460" w:leader="none"/>
        </w:tabs>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t xml:space="preserve">Elektroničke inačice zainteresirani mogu preuzeti </w:t>
      </w:r>
      <w:hyperlink r:id="rId2">
        <w:r>
          <w:rPr>
            <w:rStyle w:val="Internetskapoveznica"/>
            <w:rFonts w:eastAsia="Droid Sans Fallback" w:cs="Calibri"/>
            <w:b w:val="false"/>
            <w:bCs w:val="false"/>
            <w:color w:val="00000A"/>
            <w:kern w:val="0"/>
            <w:sz w:val="24"/>
            <w:szCs w:val="24"/>
            <w:lang w:val="hr-HR" w:eastAsia="en-US" w:bidi="ar-SA"/>
          </w:rPr>
          <w:t>na web stranici Zelene Istre</w:t>
        </w:r>
      </w:hyperlink>
      <w:r>
        <w:rPr>
          <w:rFonts w:eastAsia="Droid Sans Fallback" w:cs="Calibri"/>
          <w:b w:val="false"/>
          <w:bCs w:val="false"/>
          <w:color w:val="00000A"/>
          <w:kern w:val="0"/>
          <w:sz w:val="24"/>
          <w:szCs w:val="24"/>
          <w:lang w:val="hr-HR" w:eastAsia="en-US" w:bidi="ar-SA"/>
        </w:rPr>
        <w:t>.</w:t>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t xml:space="preserve">IPoP, Legambiente Lombardia i Zelena Istra izradili su priručnik „Alati za učenje – alati za održivi razvoj” u okviru istoimenog projekta </w:t>
      </w:r>
      <w:r>
        <w:rPr>
          <w:rFonts w:eastAsia="Droid Sans Fallback" w:cs="Calibri"/>
          <w:b w:val="false"/>
          <w:bCs w:val="false"/>
          <w:color w:val="00000A"/>
          <w:kern w:val="0"/>
          <w:sz w:val="24"/>
          <w:szCs w:val="24"/>
          <w:lang w:val="hr-HR" w:eastAsia="en-US" w:bidi="ar-SA"/>
        </w:rPr>
        <w:t xml:space="preserve">sufinanciranog sredstvima </w:t>
      </w:r>
      <w:hyperlink r:id="rId3">
        <w:r>
          <w:rPr>
            <w:rStyle w:val="Internetskapoveznica"/>
            <w:rFonts w:eastAsia="Droid Sans Fallback" w:cs="Calibri"/>
            <w:b w:val="false"/>
            <w:bCs w:val="false"/>
            <w:color w:val="00000A"/>
            <w:kern w:val="0"/>
            <w:sz w:val="24"/>
            <w:szCs w:val="24"/>
            <w:lang w:val="hr-HR" w:eastAsia="en-US" w:bidi="ar-SA"/>
          </w:rPr>
          <w:t>programa Europske unije Erasmus+</w:t>
        </w:r>
      </w:hyperlink>
      <w:r>
        <w:rPr>
          <w:rFonts w:eastAsia="Droid Sans Fallback" w:cs="Calibri"/>
          <w:b w:val="false"/>
          <w:bCs w:val="false"/>
          <w:color w:val="00000A"/>
          <w:kern w:val="0"/>
          <w:sz w:val="24"/>
          <w:szCs w:val="24"/>
          <w:lang w:val="hr-HR" w:eastAsia="en-US" w:bidi="ar-SA"/>
        </w:rPr>
        <w:t xml:space="preserve"> te Ureda za udruge Vlade Republike Hrvatske.</w:t>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t>Projekt koji je započeo 1. studenog 2020., a traje do 30. lipnja 2022. je, prije svega, usmjeren na osnaživanje partnerskih organizacija i njihovog osoblja za inovativan rad s mladima na temama povezanima s održivim razvojem, zaštitom okoliša i klimatskim</w:t>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t>promjenama. Do osnaživanja je došlo razmjenom dobrih praksi, zelenih vještina i alata za neformalno učenje među trima organizacijama tijekom triju „treninga za trenere”. Treninzi su omogućili da svaka organizacija inovira svoju već postojeću „zelenu ekspertizu” preuzimanjem metoda partnera, odnosno izradom inovativnih programa za kvalitetniji, moderan i atraktivan rad s mladima, u skladu s očekivanjima mladih.</w:t>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t>Devet osoba koje rade s mladima u projektnom timu postale su na taj način „katalizatori” pozitivnih promjena kod drugih dviju ciljanih skupina projekta – mladih osoba i nastavnika.</w:t>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t xml:space="preserve">Tijekom tri radionice u koje je bilo uključeno 30 mladih volontera, partneri su testirali </w:t>
      </w:r>
      <w:r>
        <w:rPr>
          <w:rFonts w:eastAsia="Droid Sans Fallback" w:cs="Calibri"/>
          <w:b w:val="false"/>
          <w:bCs w:val="false"/>
          <w:color w:val="00000A"/>
          <w:kern w:val="0"/>
          <w:sz w:val="24"/>
          <w:szCs w:val="24"/>
          <w:lang w:val="hr-HR" w:eastAsia="en-US" w:bidi="ar-SA"/>
        </w:rPr>
        <w:t xml:space="preserve">inovativne </w:t>
      </w:r>
      <w:r>
        <w:rPr>
          <w:rFonts w:eastAsia="Droid Sans Fallback" w:cs="Calibri"/>
          <w:b w:val="false"/>
          <w:bCs w:val="false"/>
          <w:color w:val="00000A"/>
          <w:kern w:val="0"/>
          <w:sz w:val="24"/>
          <w:szCs w:val="24"/>
          <w:lang w:val="hr-HR" w:eastAsia="en-US" w:bidi="ar-SA"/>
        </w:rPr>
        <w:t xml:space="preserve">alate za neformalno učenje u vlastitim lokalnim zajednicama. Time su ujedno i pripremili i osnažili mlade da djeluju kao agenti promjena za održivi razvoj, podigli njihovu svijest o okolišnim i klimatskim izazovima te unaprijedili, prije svega, njihovu građansku kompetenciju i njihove zelene vještine. Mladi su postali svjesniji kako njihovo ponašanje utječe na okoliš, ali i kako njihove nove vještine omogućavaju volontiranje i rad u zelenim sektorima. Na ovaj način omogućene su pozitivne promjene ponašanja, osobnih preferencija, potrošačkih navika i životnih stilova mladih. </w:t>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r>
    </w:p>
    <w:p>
      <w:pPr>
        <w:pStyle w:val="Normal"/>
        <w:jc w:val="left"/>
        <w:rPr/>
      </w:pPr>
      <w:r>
        <w:rPr>
          <w:rFonts w:eastAsia="Droid Sans Fallback" w:cs="Calibri"/>
          <w:b w:val="false"/>
          <w:bCs w:val="false"/>
          <w:color w:val="00000A"/>
          <w:kern w:val="0"/>
          <w:sz w:val="24"/>
          <w:szCs w:val="24"/>
          <w:lang w:val="hr-HR" w:eastAsia="en-US" w:bidi="ar-SA"/>
        </w:rPr>
        <w:t xml:space="preserve">Zelena Istra povela je tako 22-je mladih učenika Tehničke škole na urbanu šetnju Monvidalom, Valvidalom i Gregovicom pod nazivom „Beton, beton, samo beton?!”. Izvještaj pronađite </w:t>
      </w:r>
      <w:hyperlink r:id="rId4">
        <w:r>
          <w:rPr>
            <w:rStyle w:val="Internetskapoveznica"/>
            <w:rFonts w:eastAsia="Droid Sans Fallback" w:cs="Calibri"/>
            <w:b w:val="false"/>
            <w:bCs w:val="false"/>
            <w:color w:val="00000A"/>
            <w:kern w:val="0"/>
            <w:sz w:val="24"/>
            <w:szCs w:val="24"/>
            <w:lang w:val="hr-HR" w:eastAsia="en-US" w:bidi="ar-SA"/>
          </w:rPr>
          <w:t>ovdje</w:t>
        </w:r>
      </w:hyperlink>
      <w:r>
        <w:rPr>
          <w:rFonts w:eastAsia="Droid Sans Fallback" w:cs="Calibri"/>
          <w:b w:val="false"/>
          <w:bCs w:val="false"/>
          <w:color w:val="00000A"/>
          <w:kern w:val="0"/>
          <w:sz w:val="24"/>
          <w:szCs w:val="24"/>
          <w:lang w:val="hr-HR" w:eastAsia="en-US" w:bidi="ar-SA"/>
        </w:rPr>
        <w:t>.</w:t>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t xml:space="preserve">S ciljem osnaživanja međusektorske suradnje i doprinosa području školskog obrazovanja, priručnik, koji je jedan od značajnijih proizvoda projekta „Alati za učenje – alati za održivi razvoj”, bit će dostavljen svim školama u Hrvatskoj, Sloveniji i Lombardiji te institucijama relevantnima za školsko obrazovanje. Partneri </w:t>
      </w:r>
      <w:r>
        <w:rPr>
          <w:rFonts w:eastAsia="Droid Sans Fallback" w:cs="Calibri"/>
          <w:b w:val="false"/>
          <w:bCs w:val="false"/>
          <w:color w:val="00000A"/>
          <w:kern w:val="0"/>
          <w:sz w:val="24"/>
          <w:szCs w:val="24"/>
          <w:lang w:val="hr-HR" w:eastAsia="en-US" w:bidi="ar-SA"/>
        </w:rPr>
        <w:t xml:space="preserve">su </w:t>
      </w:r>
      <w:r>
        <w:rPr>
          <w:rFonts w:eastAsia="Droid Sans Fallback" w:cs="Calibri"/>
          <w:b w:val="false"/>
          <w:bCs w:val="false"/>
          <w:color w:val="00000A"/>
          <w:kern w:val="0"/>
          <w:sz w:val="24"/>
          <w:szCs w:val="24"/>
          <w:lang w:val="hr-HR" w:eastAsia="en-US" w:bidi="ar-SA"/>
        </w:rPr>
        <w:t>organizira</w:t>
      </w:r>
      <w:r>
        <w:rPr>
          <w:rFonts w:eastAsia="Droid Sans Fallback" w:cs="Calibri"/>
          <w:b w:val="false"/>
          <w:bCs w:val="false"/>
          <w:color w:val="00000A"/>
          <w:kern w:val="0"/>
          <w:sz w:val="24"/>
          <w:szCs w:val="24"/>
          <w:lang w:val="hr-HR" w:eastAsia="en-US" w:bidi="ar-SA"/>
        </w:rPr>
        <w:t xml:space="preserve">li </w:t>
      </w:r>
      <w:r>
        <w:rPr>
          <w:rFonts w:eastAsia="Droid Sans Fallback" w:cs="Calibri"/>
          <w:b w:val="false"/>
          <w:bCs w:val="false"/>
          <w:color w:val="00000A"/>
          <w:kern w:val="0"/>
          <w:sz w:val="24"/>
          <w:szCs w:val="24"/>
          <w:lang w:val="hr-HR" w:eastAsia="en-US" w:bidi="ar-SA"/>
        </w:rPr>
        <w:t xml:space="preserve">i predstavljanje priručnika za nastavnike u Puli, Ljubljani i Milanu. </w:t>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r>
    </w:p>
    <w:p>
      <w:pPr>
        <w:pStyle w:val="Normal"/>
        <w:jc w:val="left"/>
        <w:rPr>
          <w:rFonts w:ascii="Calibri" w:hAnsi="Calibri" w:eastAsia="Droid Sans Fallback" w:cs="Calibri"/>
          <w:b w:val="false"/>
          <w:b w:val="false"/>
          <w:bCs w:val="false"/>
          <w:color w:val="00000A"/>
          <w:kern w:val="0"/>
          <w:sz w:val="24"/>
          <w:szCs w:val="24"/>
          <w:lang w:val="hr-HR" w:eastAsia="en-US" w:bidi="ar-SA"/>
        </w:rPr>
      </w:pPr>
      <w:hyperlink r:id="rId5">
        <w:r>
          <w:rPr>
            <w:rStyle w:val="Internetskapoveznica"/>
            <w:rFonts w:eastAsia="Droid Sans Fallback" w:cs="Calibri"/>
            <w:b w:val="false"/>
            <w:bCs w:val="false"/>
            <w:color w:val="00000A"/>
            <w:kern w:val="0"/>
            <w:sz w:val="24"/>
            <w:szCs w:val="24"/>
            <w:lang w:val="hr-HR" w:eastAsia="en-US" w:bidi="ar-SA"/>
          </w:rPr>
          <w:t>Ovdje</w:t>
        </w:r>
      </w:hyperlink>
      <w:r>
        <w:rPr>
          <w:rFonts w:eastAsia="Droid Sans Fallback" w:cs="Calibri"/>
          <w:b w:val="false"/>
          <w:bCs w:val="false"/>
          <w:color w:val="00000A"/>
          <w:kern w:val="0"/>
          <w:sz w:val="24"/>
          <w:szCs w:val="24"/>
          <w:lang w:val="hr-HR" w:eastAsia="en-US" w:bidi="ar-SA"/>
        </w:rPr>
        <w:t xml:space="preserve"> pročitajte kako su istarski nastavnici ocijenili priručnik, odnosno njegovu prezentaciju.</w:t>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r>
    </w:p>
    <w:p>
      <w:pPr>
        <w:pStyle w:val="Normal"/>
        <w:jc w:val="left"/>
        <w:rPr>
          <w:rFonts w:ascii="Calibri" w:hAnsi="Calibri" w:eastAsia="Droid Sans Fallback" w:cs="Calibri"/>
          <w:b w:val="false"/>
          <w:b w:val="false"/>
          <w:bCs w:val="false"/>
          <w:color w:val="00000A"/>
          <w:kern w:val="0"/>
          <w:sz w:val="24"/>
          <w:szCs w:val="24"/>
          <w:lang w:val="hr-HR" w:eastAsia="en-US" w:bidi="ar-SA"/>
        </w:rPr>
      </w:pPr>
      <w:r>
        <w:rPr>
          <w:rFonts w:eastAsia="Droid Sans Fallback" w:cs="Calibri"/>
          <w:b w:val="false"/>
          <w:bCs w:val="false"/>
          <w:color w:val="00000A"/>
          <w:kern w:val="0"/>
          <w:sz w:val="24"/>
          <w:szCs w:val="24"/>
          <w:lang w:val="hr-HR" w:eastAsia="en-US" w:bidi="ar-SA"/>
        </w:rPr>
        <w:t xml:space="preserve">Projekt </w:t>
      </w:r>
      <w:hyperlink r:id="rId6">
        <w:r>
          <w:rPr>
            <w:rStyle w:val="Internetskapoveznica"/>
            <w:rFonts w:eastAsia="Droid Sans Fallback" w:cs="Calibri"/>
            <w:b w:val="false"/>
            <w:bCs w:val="false"/>
            <w:color w:val="00000A"/>
            <w:kern w:val="0"/>
            <w:sz w:val="24"/>
            <w:szCs w:val="24"/>
            <w:lang w:val="hr-HR" w:eastAsia="en-US" w:bidi="ar-SA"/>
          </w:rPr>
          <w:t>„</w:t>
        </w:r>
        <w:r>
          <w:rPr>
            <w:rStyle w:val="Internetskapoveznica"/>
            <w:rFonts w:eastAsia="Droid Sans Fallback" w:cs="Calibri"/>
            <w:b w:val="false"/>
            <w:bCs w:val="false"/>
            <w:color w:val="00000A"/>
            <w:kern w:val="0"/>
            <w:sz w:val="24"/>
            <w:szCs w:val="24"/>
            <w:lang w:val="hr-HR" w:eastAsia="en-US" w:bidi="ar-SA"/>
          </w:rPr>
          <w:t>Alati za učenje – alati za održivi razvoj”</w:t>
        </w:r>
      </w:hyperlink>
      <w:r>
        <w:rPr>
          <w:rFonts w:eastAsia="Droid Sans Fallback" w:cs="Calibri"/>
          <w:b w:val="false"/>
          <w:bCs w:val="false"/>
          <w:color w:val="00000A"/>
          <w:kern w:val="0"/>
          <w:sz w:val="24"/>
          <w:szCs w:val="24"/>
          <w:lang w:val="hr-HR" w:eastAsia="en-US" w:bidi="ar-SA"/>
        </w:rPr>
        <w:t xml:space="preserve"> </w:t>
      </w:r>
      <w:r>
        <w:rPr>
          <w:rFonts w:eastAsia="Droid Sans Fallback" w:cs="Calibri"/>
          <w:b w:val="false"/>
          <w:bCs w:val="false"/>
          <w:color w:val="00000A"/>
          <w:kern w:val="0"/>
          <w:sz w:val="24"/>
          <w:szCs w:val="24"/>
          <w:lang w:val="hr-HR" w:eastAsia="en-US" w:bidi="ar-SA"/>
        </w:rPr>
        <w:t>podržava nastavnike i osobe koje rade s mladima u njihovoj upornoj potrazi za kvalitetnim i inovativnim alatima koji mlade potiču na djelovanje u smjeru održivog razvoja.</w:t>
      </w:r>
    </w:p>
    <w:p>
      <w:pPr>
        <w:pStyle w:val="Normal"/>
        <w:jc w:val="left"/>
        <w:rPr/>
      </w:pPr>
      <w:r>
        <w:rPr/>
      </w:r>
    </w:p>
    <w:sectPr>
      <w:headerReference w:type="default" r:id="rId7"/>
      <w:footerReference w:type="default" r:id="rId8"/>
      <w:type w:val="nextPage"/>
      <w:pgSz w:w="11906" w:h="16838"/>
      <w:pgMar w:left="720" w:right="720" w:header="680" w:top="737" w:footer="1247" w:bottom="130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rFonts w:ascii="Arial" w:hAnsi="Arial" w:eastAsia="Times New Roman" w:cs="Arial"/>
        <w:color w:val="385623"/>
        <w:sz w:val="15"/>
        <w:szCs w:val="15"/>
      </w:rPr>
    </w:pPr>
    <w:r>
      <w:rPr>
        <w:rFonts w:eastAsia="Times New Roman" w:cs="Arial" w:ascii="Arial" w:hAnsi="Arial"/>
        <w:color w:val="385623" w:themeColor="accent6" w:themeShade="80"/>
        <w:sz w:val="15"/>
        <w:szCs w:val="15"/>
        <w:lang w:val="hr-HR" w:eastAsia="zh-CN" w:bidi="hi-IN"/>
      </w:rPr>
      <w:t>Ovaj materijal izražava isključivo stajalište njegovih autora i Komisija se ne može smatrati odgovornom prilikom uporabe informacija koje se u njemu nalaze. Projekt sufinancira Ured za udruge Vlade Republike Hrvatske. Stajališta izražena u ovom materijalu isključiva su odgovornost Zelene Istre i ne odražavaju nužno stajalište Ureda za udruge Vlade Republike Hrvatske.</w:t>
    </w:r>
  </w:p>
  <w:p>
    <w:pPr>
      <w:pStyle w:val="Podnoje"/>
      <w:rPr/>
    </w:pPr>
    <w:r>
      <w:rPr/>
      <w:drawing>
        <wp:anchor behindDoc="1" distT="0" distB="0" distL="0" distR="0" simplePos="0" locked="0" layoutInCell="1" allowOverlap="1" relativeHeight="5">
          <wp:simplePos x="0" y="0"/>
          <wp:positionH relativeFrom="column">
            <wp:posOffset>-472440</wp:posOffset>
          </wp:positionH>
          <wp:positionV relativeFrom="paragraph">
            <wp:posOffset>170815</wp:posOffset>
          </wp:positionV>
          <wp:extent cx="7560310" cy="1003935"/>
          <wp:effectExtent l="0" t="0" r="0" b="0"/>
          <wp:wrapNone/>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
                  <pic:cNvPicPr>
                    <a:picLocks noChangeAspect="1" noChangeArrowheads="1"/>
                  </pic:cNvPicPr>
                </pic:nvPicPr>
                <pic:blipFill>
                  <a:blip r:embed="rId1"/>
                  <a:stretch>
                    <a:fillRect/>
                  </a:stretch>
                </pic:blipFill>
                <pic:spPr bwMode="auto">
                  <a:xfrm>
                    <a:off x="0" y="0"/>
                    <a:ext cx="7560310" cy="1003935"/>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aglavlje"/>
      <w:rPr/>
    </w:pPr>
    <w:r>
      <w:rPr/>
      <w:drawing>
        <wp:anchor behindDoc="1" distT="0" distB="0" distL="0" distR="0" simplePos="0" locked="0" layoutInCell="1" allowOverlap="1" relativeHeight="3">
          <wp:simplePos x="0" y="0"/>
          <wp:positionH relativeFrom="column">
            <wp:posOffset>-474345</wp:posOffset>
          </wp:positionH>
          <wp:positionV relativeFrom="paragraph">
            <wp:posOffset>-548640</wp:posOffset>
          </wp:positionV>
          <wp:extent cx="7560310" cy="1194435"/>
          <wp:effectExtent l="0" t="0" r="0" b="0"/>
          <wp:wrapNone/>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1"/>
                  <a:stretch>
                    <a:fillRect/>
                  </a:stretch>
                </pic:blipFill>
                <pic:spPr bwMode="auto">
                  <a:xfrm>
                    <a:off x="0" y="0"/>
                    <a:ext cx="7560310" cy="1194435"/>
                  </a:xfrm>
                  <a:prstGeom prst="rect">
                    <a:avLst/>
                  </a:prstGeom>
                </pic:spPr>
              </pic:pic>
            </a:graphicData>
          </a:graphic>
        </wp:anchor>
      </w:drawing>
    </w:r>
  </w:p>
</w:hdr>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Droid Sans Fallback" w:cs="Calibri"/>
        <w:sz w:val="20"/>
        <w:szCs w:val="24"/>
        <w:lang w:val="hr-HR" w:eastAsia="en-US" w:bidi="ar-SA"/>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Calibri" w:hAnsi="Calibri" w:eastAsia="Droid Sans Fallback" w:cs="Calibri"/>
      <w:color w:val="00000A"/>
      <w:kern w:val="0"/>
      <w:sz w:val="24"/>
      <w:szCs w:val="24"/>
      <w:lang w:val="hr-HR"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Znakovifusnota">
    <w:name w:val="Znakovi fusnota"/>
    <w:qFormat/>
    <w:rPr/>
  </w:style>
  <w:style w:type="character" w:styleId="Sidrofusnote">
    <w:name w:val="Sidro fusnote"/>
    <w:rPr>
      <w:vertAlign w:val="superscript"/>
    </w:rPr>
  </w:style>
  <w:style w:type="character" w:styleId="Sidrozavrnebiljeke">
    <w:name w:val="Sidro završne bilješke"/>
    <w:rPr>
      <w:vertAlign w:val="superscript"/>
    </w:rPr>
  </w:style>
  <w:style w:type="character" w:styleId="Znakovizavrnihbiljeki">
    <w:name w:val="Znakovi završnih bilješki"/>
    <w:qFormat/>
    <w:rPr/>
  </w:style>
  <w:style w:type="character" w:styleId="Jakoisticanje">
    <w:name w:val="Jako isticanje"/>
    <w:qFormat/>
    <w:rPr>
      <w:b/>
      <w:bCs/>
    </w:rPr>
  </w:style>
  <w:style w:type="character" w:styleId="Internetskapoveznica">
    <w:name w:val="Internetska poveznica"/>
    <w:rPr>
      <w:color w:val="000080"/>
      <w:u w:val="single"/>
      <w:lang w:val="zxx" w:eastAsia="zxx" w:bidi="zxx"/>
    </w:rPr>
  </w:style>
  <w:style w:type="paragraph" w:styleId="Stilnaslova">
    <w:name w:val="Stil naslova"/>
    <w:basedOn w:val="Normal"/>
    <w:next w:val="TextBody"/>
    <w:qFormat/>
    <w:pPr>
      <w:keepNext w:val="true"/>
      <w:spacing w:before="240" w:after="120"/>
    </w:pPr>
    <w:rPr>
      <w:rFonts w:ascii="Liberation Sans" w:hAnsi="Liberation Sans" w:eastAsia="Droid Sans Fallback" w:cs="FreeSans"/>
      <w:sz w:val="28"/>
      <w:szCs w:val="28"/>
    </w:rPr>
  </w:style>
  <w:style w:type="paragraph" w:styleId="Tijeloteksta">
    <w:name w:val="Body Text"/>
    <w:basedOn w:val="Normal"/>
    <w:pPr>
      <w:spacing w:lineRule="auto" w:line="276" w:before="0" w:after="140"/>
    </w:pPr>
    <w:rPr/>
  </w:style>
  <w:style w:type="paragraph" w:styleId="Popis">
    <w:name w:val="List"/>
    <w:basedOn w:val="TextBody"/>
    <w:pPr/>
    <w:rPr>
      <w:rFonts w:cs="FreeSans"/>
    </w:rPr>
  </w:style>
  <w:style w:type="paragraph" w:styleId="Opiselementa">
    <w:name w:val="Caption"/>
    <w:basedOn w:val="Normal"/>
    <w:qFormat/>
    <w:pPr>
      <w:suppressLineNumbers/>
      <w:spacing w:before="120" w:after="120"/>
    </w:pPr>
    <w:rPr>
      <w:rFonts w:cs="FreeSans"/>
      <w:i/>
      <w:iCs/>
      <w:sz w:val="24"/>
      <w:szCs w:val="24"/>
    </w:rPr>
  </w:style>
  <w:style w:type="paragraph" w:styleId="Indeks">
    <w:name w:val="Indeks"/>
    <w:basedOn w:val="Normal"/>
    <w:qFormat/>
    <w:pPr>
      <w:suppressLineNumbers/>
    </w:pPr>
    <w:rPr>
      <w:rFonts w:cs="FreeSans"/>
    </w:rPr>
  </w:style>
  <w:style w:type="paragraph" w:styleId="TextBody">
    <w:name w:val="Text Body"/>
    <w:basedOn w:val="Normal"/>
    <w:qFormat/>
    <w:pPr>
      <w:spacing w:lineRule="auto" w:line="288" w:before="0" w:after="140"/>
    </w:pPr>
    <w:rPr/>
  </w:style>
  <w:style w:type="paragraph" w:styleId="Zaglavljeipodnoje">
    <w:name w:val="Zaglavlje i podnožje"/>
    <w:basedOn w:val="Normal"/>
    <w:qFormat/>
    <w:pPr/>
    <w:rPr/>
  </w:style>
  <w:style w:type="paragraph" w:styleId="Zaglavlje">
    <w:name w:val="Header"/>
    <w:basedOn w:val="Normal"/>
    <w:pPr>
      <w:tabs>
        <w:tab w:val="clear" w:pos="720"/>
        <w:tab w:val="center" w:pos="4703" w:leader="none"/>
        <w:tab w:val="right" w:pos="9406" w:leader="none"/>
      </w:tabs>
    </w:pPr>
    <w:rPr/>
  </w:style>
  <w:style w:type="paragraph" w:styleId="Podnoje">
    <w:name w:val="Footer"/>
    <w:basedOn w:val="Normal"/>
    <w:pPr>
      <w:tabs>
        <w:tab w:val="clear" w:pos="720"/>
        <w:tab w:val="center" w:pos="4703" w:leader="none"/>
        <w:tab w:val="right" w:pos="9406" w:leader="none"/>
      </w:tabs>
    </w:pPr>
    <w:rPr/>
  </w:style>
  <w:style w:type="paragraph" w:styleId="Fusnota">
    <w:name w:val="Footnote Text"/>
    <w:basedOn w:val="Normal"/>
    <w:pPr>
      <w:suppressLineNumbers/>
      <w:ind w:left="339" w:hanging="339"/>
    </w:pPr>
    <w:rPr>
      <w:sz w:val="20"/>
      <w:szCs w:val="20"/>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zelena-istra.hr/hr/articles/novosti/877/zelena-istra-s-partnerima-izdala-novi-prirucnik-za/" TargetMode="External"/><Relationship Id="rId3" Type="http://schemas.openxmlformats.org/officeDocument/2006/relationships/hyperlink" Target="https://www.mobilnost.hr/hr/sadrzaj/programi/erasmus/" TargetMode="External"/><Relationship Id="rId4" Type="http://schemas.openxmlformats.org/officeDocument/2006/relationships/hyperlink" Target="https://www.zelena-istra.hr/hr/articles/novosti/872/edukacija-mladih-kljucna-za-promjenu-zelena-istra-/" TargetMode="External"/><Relationship Id="rId5" Type="http://schemas.openxmlformats.org/officeDocument/2006/relationships/hyperlink" Target="https://www.zelena-istra.hr/hr/articles/novosti/876/istarski-nastavnici-osnazeni-za-primjenu-metoda-za/" TargetMode="External"/><Relationship Id="rId6" Type="http://schemas.openxmlformats.org/officeDocument/2006/relationships/hyperlink" Target="https://www.zelena-istra.hr/hr/projekti/alati-za-ucenje-alati-za-odrzivi-razvoj/"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docProps/app.xml><?xml version="1.0" encoding="utf-8"?>
<Properties xmlns="http://schemas.openxmlformats.org/officeDocument/2006/extended-properties" xmlns:vt="http://schemas.openxmlformats.org/officeDocument/2006/docPropsVTypes">
  <Template>Normal.dotm</Template>
  <TotalTime>1096</TotalTime>
  <Application>LibreOffice/6.4.7.2$Linux_X86_64 LibreOffice_project/40$Build-2</Application>
  <Pages>2</Pages>
  <Words>656</Words>
  <Characters>3981</Characters>
  <CharactersWithSpaces>4633</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2020-11-17T11:58:00Z</dcterms:created>
  <dc:creator>Microsoft Office User</dc:creator>
  <dc:description/>
  <dc:language>hr-HR</dc:language>
  <cp:lastModifiedBy>Dunja Mickov</cp:lastModifiedBy>
  <dcterms:modified xsi:type="dcterms:W3CDTF">2022-06-30T08:39:00Z</dcterms:modified>
  <cp:revision>23</cp:revision>
  <dc:subject/>
  <dc:title/>
</cp:coreProperties>
</file>