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9"/>
          <w:tab w:val="left" w:pos="6225" w:leader="none"/>
        </w:tabs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-3175</wp:posOffset>
            </wp:positionH>
            <wp:positionV relativeFrom="paragraph">
              <wp:posOffset>-1270</wp:posOffset>
            </wp:positionV>
            <wp:extent cx="1461135" cy="71437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7" t="-85" r="-47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/>
        </w:rPr>
      </w:pPr>
      <w:r>
        <w:rPr>
          <w:rFonts w:cs="Arial" w:ascii="Arial" w:hAnsi="Arial"/>
          <w:sz w:val="21"/>
          <w:szCs w:val="21"/>
        </w:rPr>
        <w:t>Gajeva 3, 52100 Pula</w:t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/>
        </w:rPr>
      </w:pPr>
      <w:r>
        <w:rPr>
          <w:rFonts w:cs="Arial" w:ascii="Arial" w:hAnsi="Arial"/>
          <w:sz w:val="21"/>
          <w:szCs w:val="21"/>
        </w:rPr>
        <w:t>Telefon/faks: 052 506 065</w:t>
      </w:r>
    </w:p>
    <w:p>
      <w:pPr>
        <w:pStyle w:val="Normal"/>
        <w:tabs>
          <w:tab w:val="clear" w:pos="709"/>
          <w:tab w:val="left" w:pos="6225" w:leader="none"/>
        </w:tabs>
        <w:rPr/>
      </w:pPr>
      <w:r>
        <w:rPr>
          <w:rFonts w:cs="Arial" w:ascii="Arial" w:hAnsi="Arial"/>
          <w:sz w:val="21"/>
          <w:szCs w:val="21"/>
        </w:rPr>
        <w:t xml:space="preserve">e-mail: </w:t>
      </w:r>
      <w:hyperlink r:id="rId3">
        <w:r>
          <w:rPr>
            <w:rStyle w:val="Internetskapoveznica"/>
            <w:rFonts w:cs="Arial" w:ascii="Arial" w:hAnsi="Arial"/>
            <w:sz w:val="21"/>
            <w:szCs w:val="21"/>
          </w:rPr>
          <w:t>udruga-zelena-istra@pu.t-com.hr</w:t>
        </w:r>
      </w:hyperlink>
    </w:p>
    <w:p>
      <w:pPr>
        <w:pStyle w:val="Normal"/>
        <w:tabs>
          <w:tab w:val="clear" w:pos="709"/>
          <w:tab w:val="left" w:pos="6225" w:leader="none"/>
        </w:tabs>
        <w:rPr/>
      </w:pPr>
      <w:r>
        <w:rPr>
          <w:rFonts w:cs="Arial" w:ascii="Arial" w:hAnsi="Arial"/>
          <w:sz w:val="21"/>
          <w:szCs w:val="21"/>
        </w:rPr>
        <w:t xml:space="preserve">url: </w:t>
      </w:r>
      <w:hyperlink r:id="rId4">
        <w:r>
          <w:rPr>
            <w:rStyle w:val="Internetskapoveznica"/>
            <w:rFonts w:cs="Arial" w:ascii="Arial" w:hAnsi="Arial"/>
            <w:sz w:val="21"/>
            <w:szCs w:val="21"/>
          </w:rPr>
          <w:t>www.zelena-istra.hr</w:t>
        </w:r>
      </w:hyperlink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/>
        </w:rPr>
      </w:pPr>
      <w:r>
        <w:rPr/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/>
        </w:rPr>
      </w:pPr>
      <w:r>
        <w:rPr>
          <w:rFonts w:cs="Arial" w:ascii="Arial" w:hAnsi="Arial"/>
          <w:sz w:val="21"/>
          <w:szCs w:val="21"/>
        </w:rPr>
        <w:tab/>
        <w:t>MEDIJI</w:t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/>
        </w:rPr>
      </w:pPr>
      <w:r>
        <w:rPr/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/>
        </w:rPr>
      </w:pPr>
      <w:r>
        <w:rPr>
          <w:rFonts w:cs="Arial" w:ascii="Arial" w:hAnsi="Arial"/>
          <w:sz w:val="21"/>
          <w:szCs w:val="21"/>
        </w:rPr>
        <w:t>U Puli, 15. travanj 2024</w:t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/>
        </w:rPr>
      </w:pPr>
      <w:r>
        <w:rPr/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 w:cs="Arial"/>
          <w:b/>
          <w:b/>
          <w:bCs/>
          <w:sz w:val="21"/>
          <w:szCs w:val="21"/>
        </w:rPr>
      </w:pPr>
      <w:r>
        <w:rPr/>
      </w:r>
    </w:p>
    <w:p>
      <w:pPr>
        <w:pStyle w:val="Normal"/>
        <w:tabs>
          <w:tab w:val="clear" w:pos="709"/>
          <w:tab w:val="left" w:pos="6225" w:leader="none"/>
        </w:tabs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1"/>
          <w:szCs w:val="21"/>
        </w:rPr>
        <w:t xml:space="preserve">                    </w:t>
      </w:r>
    </w:p>
    <w:p>
      <w:pPr>
        <w:pStyle w:val="Normal"/>
        <w:tabs>
          <w:tab w:val="clear" w:pos="709"/>
          <w:tab w:val="left" w:pos="6225" w:leader="none"/>
        </w:tabs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1"/>
          <w:szCs w:val="21"/>
        </w:rPr>
        <w:t xml:space="preserve"> </w:t>
      </w:r>
      <w:r>
        <w:rPr>
          <w:rFonts w:cs="Arial" w:ascii="Arial" w:hAnsi="Arial"/>
          <w:b/>
          <w:bCs/>
          <w:sz w:val="30"/>
          <w:szCs w:val="30"/>
        </w:rPr>
        <w:t>Nakon masovnog pomora periski u uvali Dajla- Belveder snimljene žive jedinke</w:t>
      </w:r>
    </w:p>
    <w:p>
      <w:pPr>
        <w:pStyle w:val="Normal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U uvali Dajla – Belveder  pronađene su žive jedinke mladih periski! </w:t>
      </w:r>
      <w:r>
        <w:rPr>
          <w:rFonts w:cs="Arial" w:ascii="Arial" w:hAnsi="Arial"/>
          <w:b/>
          <w:bCs/>
          <w:sz w:val="21"/>
          <w:szCs w:val="21"/>
        </w:rPr>
        <w:t>Ovi nalazi iz uvale Dajla -</w:t>
      </w:r>
      <w:r>
        <w:rPr>
          <w:rFonts w:cs="Arial" w:ascii="Arial" w:hAnsi="Arial"/>
          <w:b/>
          <w:bCs/>
          <w:sz w:val="21"/>
          <w:szCs w:val="21"/>
        </w:rPr>
        <w:t>Karigador</w:t>
      </w:r>
      <w:r>
        <w:rPr>
          <w:rFonts w:cs="Arial" w:ascii="Arial" w:hAnsi="Arial"/>
          <w:b/>
          <w:bCs/>
          <w:sz w:val="21"/>
          <w:szCs w:val="21"/>
        </w:rPr>
        <w:t xml:space="preserve"> ukazuju na važnost ovog područja za opstanak plemenite periske, kojoj prijeti izumiranje. </w:t>
      </w:r>
      <w:r>
        <w:rPr>
          <w:rFonts w:cs="Arial" w:ascii="Arial" w:hAnsi="Arial"/>
          <w:sz w:val="21"/>
          <w:szCs w:val="21"/>
        </w:rPr>
        <w:t xml:space="preserve">Naime, uvala je to za čije očuvanje se već godinama bore </w:t>
      </w:r>
      <w:r>
        <w:rPr>
          <w:rFonts w:ascii="Arial" w:hAnsi="Arial"/>
          <w:sz w:val="21"/>
          <w:szCs w:val="21"/>
        </w:rPr>
        <w:t>Građanska inicijativa iz Dajle te građanska inicijativa i udruga "Moj lipi Karigador", uz podršku Zelene Istre, apeliraju</w:t>
      </w:r>
      <w:r>
        <w:rPr>
          <w:rFonts w:ascii="Arial" w:hAnsi="Arial"/>
          <w:sz w:val="21"/>
          <w:szCs w:val="21"/>
        </w:rPr>
        <w:t>ći</w:t>
      </w:r>
      <w:r>
        <w:rPr>
          <w:rFonts w:ascii="Arial" w:hAnsi="Arial"/>
          <w:sz w:val="21"/>
          <w:szCs w:val="21"/>
        </w:rPr>
        <w:t xml:space="preserve"> da se spriječi devastacija i betonizacija za sada netaknute uvale Dajla-Karigador izgradnjom dviju luka otvorenih za javni promet.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Radi se o predimenzioniranim zahvatima koji uopće ne odgovaraju potrebama građana. Primjerice u Dajli postoji potreba za svega 25 vezova, a te se potrebe građana mogu zadovoljiti uređenjem i eventualnim malim proširenjem već postojeće lučice u Dajli kod samostana ili uređenjem postojećeg mola. I u Karigadoru je slična situacija i mještani se zalažu za uređenje postojećeg ribarskog mola s maksimalno 40 vezova. </w:t>
      </w:r>
      <w:r>
        <w:rPr>
          <w:rFonts w:ascii="Arial" w:hAnsi="Arial"/>
          <w:sz w:val="21"/>
          <w:szCs w:val="21"/>
        </w:rPr>
        <w:t xml:space="preserve">U međuvremenu su građani Karigadora uspjeli spriječiti prvotne planove o izgradnji marine od 200 vezova i čekaju da Općina to potvrdi i smanjenjem obuhvata u izmjenama prostornog plana Općine Brtonigla. 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1"/>
          <w:szCs w:val="21"/>
        </w:rPr>
        <w:t>Što se tiče luke u Dajli-</w:t>
      </w:r>
      <w:r>
        <w:rPr>
          <w:rFonts w:cs="Arial" w:ascii="Arial" w:hAnsi="Arial"/>
          <w:sz w:val="21"/>
          <w:szCs w:val="21"/>
        </w:rPr>
        <w:t>Belveder</w:t>
      </w:r>
      <w:r>
        <w:rPr>
          <w:rFonts w:cs="Arial" w:ascii="Arial" w:hAnsi="Arial"/>
          <w:sz w:val="21"/>
          <w:szCs w:val="21"/>
        </w:rPr>
        <w:t>, n</w:t>
      </w:r>
      <w:r>
        <w:rPr>
          <w:rFonts w:cs="Arial" w:ascii="Arial" w:hAnsi="Arial"/>
          <w:sz w:val="21"/>
          <w:szCs w:val="21"/>
        </w:rPr>
        <w:t>akon što se</w:t>
      </w:r>
      <w:r>
        <w:rPr>
          <w:rFonts w:cs="Arial" w:ascii="Arial" w:hAnsi="Arial"/>
          <w:sz w:val="21"/>
          <w:szCs w:val="21"/>
        </w:rPr>
        <w:t xml:space="preserve"> zbog </w:t>
      </w:r>
      <w:r>
        <w:rPr>
          <w:rFonts w:cs="Arial" w:ascii="Arial" w:hAnsi="Arial"/>
          <w:sz w:val="21"/>
          <w:szCs w:val="21"/>
        </w:rPr>
        <w:t xml:space="preserve">mnogobrojnih </w:t>
      </w:r>
      <w:r>
        <w:rPr>
          <w:rFonts w:cs="Arial" w:ascii="Arial" w:hAnsi="Arial"/>
          <w:sz w:val="21"/>
          <w:szCs w:val="21"/>
        </w:rPr>
        <w:t xml:space="preserve">primjedbi građana 2022. godine </w:t>
      </w:r>
      <w:r>
        <w:rPr>
          <w:rFonts w:cs="Arial" w:ascii="Arial" w:hAnsi="Arial"/>
          <w:sz w:val="21"/>
          <w:szCs w:val="21"/>
        </w:rPr>
        <w:t xml:space="preserve">ponovila Ocjena o potrebi procjene zahvata na okoliš </w:t>
      </w:r>
      <w:r>
        <w:rPr>
          <w:rFonts w:cs="Arial" w:ascii="Arial" w:hAnsi="Arial"/>
          <w:b/>
          <w:bCs/>
          <w:sz w:val="21"/>
          <w:szCs w:val="21"/>
        </w:rPr>
        <w:t xml:space="preserve">donesena </w:t>
      </w:r>
      <w:r>
        <w:rPr>
          <w:rFonts w:cs="Arial" w:ascii="Arial" w:hAnsi="Arial"/>
          <w:b/>
          <w:bCs/>
          <w:sz w:val="21"/>
          <w:szCs w:val="21"/>
        </w:rPr>
        <w:t xml:space="preserve">je </w:t>
      </w:r>
      <w:r>
        <w:rPr>
          <w:rFonts w:cs="Arial" w:ascii="Arial" w:hAnsi="Arial"/>
          <w:b/>
          <w:bCs/>
          <w:sz w:val="21"/>
          <w:szCs w:val="21"/>
        </w:rPr>
        <w:t xml:space="preserve">odluka </w:t>
      </w:r>
      <w:r>
        <w:rPr>
          <w:rFonts w:cs="Arial" w:ascii="Arial" w:hAnsi="Arial"/>
          <w:b/>
          <w:bCs/>
          <w:sz w:val="21"/>
          <w:szCs w:val="21"/>
        </w:rPr>
        <w:t>Ministarstva</w:t>
      </w:r>
      <w:r>
        <w:rPr>
          <w:rFonts w:cs="Arial" w:ascii="Arial" w:hAnsi="Arial"/>
          <w:b/>
          <w:bCs/>
          <w:sz w:val="21"/>
          <w:szCs w:val="21"/>
        </w:rPr>
        <w:t xml:space="preserve"> da nije potrebna Studija utjecaja na okoliš </w:t>
      </w:r>
      <w:r>
        <w:rPr>
          <w:rFonts w:cs="Arial" w:ascii="Arial" w:hAnsi="Arial"/>
          <w:b/>
          <w:bCs/>
          <w:sz w:val="21"/>
          <w:szCs w:val="21"/>
        </w:rPr>
        <w:t>z</w:t>
      </w:r>
      <w:r>
        <w:rPr>
          <w:rFonts w:cs="Arial" w:ascii="Arial" w:hAnsi="Arial"/>
          <w:b/>
          <w:bCs/>
          <w:sz w:val="21"/>
          <w:szCs w:val="21"/>
        </w:rPr>
        <w:t>a izgradnju luke Dajla.</w:t>
      </w: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Gotovo nevjerojatno jer zahvat p</w:t>
      </w:r>
      <w:r>
        <w:rPr>
          <w:rFonts w:cs="Arial" w:ascii="Arial" w:hAnsi="Arial"/>
          <w:sz w:val="21"/>
          <w:szCs w:val="21"/>
        </w:rPr>
        <w:t xml:space="preserve">redviđa iskop oko 23 0000 m3 morskog sedimenta i stijenske mase </w:t>
      </w:r>
      <w:r>
        <w:rPr>
          <w:rFonts w:cs="Arial" w:ascii="Arial" w:hAnsi="Arial"/>
          <w:sz w:val="21"/>
          <w:szCs w:val="21"/>
        </w:rPr>
        <w:t xml:space="preserve">te  produbljivanje morskog dna na dubine -2,5, -3 i -4 m, izgradnju lukobrana duljine 80 m, obalnog zida 135 m i istezališta za plovila, postavljanje dva plutajuća gata duljina po 45 m i širine 2,2 m. 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sz w:val="21"/>
          <w:szCs w:val="21"/>
        </w:rPr>
        <w:t xml:space="preserve">Ali u navedenom </w:t>
      </w: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Elaboratu </w:t>
      </w:r>
      <w:r>
        <w:rPr>
          <w:rFonts w:cs="Arial" w:ascii="Arial" w:hAnsi="Arial"/>
          <w:sz w:val="21"/>
          <w:szCs w:val="21"/>
        </w:rPr>
        <w:t>su tada 2022. godine</w:t>
      </w:r>
      <w:r>
        <w:rPr>
          <w:rFonts w:cs="Arial" w:ascii="Arial" w:hAnsi="Arial"/>
          <w:sz w:val="21"/>
          <w:szCs w:val="21"/>
        </w:rPr>
        <w:t xml:space="preserve"> utvrdili da </w:t>
      </w:r>
      <w:r>
        <w:rPr>
          <w:rFonts w:cs="Arial" w:ascii="Arial" w:hAnsi="Arial"/>
          <w:b/>
          <w:bCs/>
          <w:sz w:val="21"/>
          <w:szCs w:val="21"/>
        </w:rPr>
        <w:t xml:space="preserve">zbog pomora </w:t>
      </w:r>
      <w:r>
        <w:rPr>
          <w:rFonts w:cs="Arial" w:ascii="Arial" w:hAnsi="Arial"/>
          <w:b/>
          <w:bCs/>
          <w:sz w:val="21"/>
          <w:szCs w:val="21"/>
        </w:rPr>
        <w:t xml:space="preserve">periski </w:t>
      </w:r>
      <w:r>
        <w:rPr>
          <w:rFonts w:cs="Arial" w:ascii="Arial" w:hAnsi="Arial"/>
          <w:b/>
          <w:bCs/>
          <w:sz w:val="21"/>
          <w:szCs w:val="21"/>
        </w:rPr>
        <w:t xml:space="preserve">nema tog vrijednog staništa </w:t>
      </w:r>
      <w:r>
        <w:rPr>
          <w:rFonts w:cs="Arial" w:ascii="Arial" w:hAnsi="Arial"/>
          <w:sz w:val="21"/>
          <w:szCs w:val="21"/>
        </w:rPr>
        <w:t>pa ga ni ne treba štititi</w:t>
      </w:r>
      <w:r>
        <w:rPr>
          <w:rFonts w:cs="Arial" w:ascii="Arial" w:hAnsi="Arial"/>
          <w:sz w:val="21"/>
          <w:szCs w:val="21"/>
        </w:rPr>
        <w:t xml:space="preserve">. </w:t>
      </w:r>
      <w:r>
        <w:rPr>
          <w:rFonts w:cs="Arial" w:ascii="Arial" w:hAnsi="Arial"/>
          <w:sz w:val="21"/>
          <w:szCs w:val="21"/>
        </w:rPr>
        <w:t>O</w:t>
      </w:r>
      <w:r>
        <w:rPr>
          <w:rFonts w:cs="Arial" w:ascii="Arial" w:hAnsi="Arial"/>
          <w:sz w:val="21"/>
          <w:szCs w:val="21"/>
        </w:rPr>
        <w:t xml:space="preserve">vo novo otkriće staništa, gotovo izumrle strogo zaštićene vrste periske, otvara </w:t>
      </w:r>
      <w:r>
        <w:rPr>
          <w:rFonts w:cs="Arial" w:ascii="Arial" w:hAnsi="Arial"/>
          <w:sz w:val="21"/>
          <w:szCs w:val="21"/>
        </w:rPr>
        <w:t xml:space="preserve">stoga </w:t>
      </w:r>
      <w:r>
        <w:rPr>
          <w:rFonts w:cs="Arial" w:ascii="Arial" w:hAnsi="Arial"/>
          <w:sz w:val="21"/>
          <w:szCs w:val="21"/>
        </w:rPr>
        <w:t>nova pitanja o obaveznoj zaštiti ovih staništa.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</w:rPr>
      </w:pPr>
      <w:r>
        <w:rPr>
          <w:rFonts w:cs="Arial" w:ascii="Arial" w:hAnsi="Arial"/>
          <w:sz w:val="21"/>
          <w:szCs w:val="21"/>
        </w:rPr>
        <w:t>Podvodne fotografije i snimke kao nepobitan dokaz</w:t>
      </w:r>
      <w:r>
        <w:rPr>
          <w:rFonts w:cs="Arial" w:ascii="Arial" w:hAnsi="Arial"/>
          <w:b/>
          <w:bCs/>
          <w:sz w:val="21"/>
          <w:szCs w:val="21"/>
        </w:rPr>
        <w:t xml:space="preserve"> građanska inicijativa Dajla i Zelena Istra prijavili su 11.04.2024. u bazu Ministarstva</w:t>
      </w:r>
      <w:r>
        <w:rPr>
          <w:rFonts w:cs="Arial" w:ascii="Arial" w:hAnsi="Arial"/>
          <w:sz w:val="21"/>
          <w:szCs w:val="21"/>
        </w:rPr>
        <w:t xml:space="preserve"> gospodarstva i održivog razvoja te se očekuju sljedeći koraci s ciljem zaštite ovog staništa. Putem akcije „Jeste li ih vidjeli“, Zavod za zaštitu okoliša i prirode Ministarstva gospodarstva i održivog razvoja, </w:t>
      </w:r>
      <w:r>
        <w:rPr>
          <w:rFonts w:cs="Arial" w:ascii="Arial" w:hAnsi="Arial"/>
          <w:sz w:val="21"/>
          <w:szCs w:val="21"/>
        </w:rPr>
        <w:t xml:space="preserve">potiče građane da </w:t>
      </w:r>
      <w:r>
        <w:rPr>
          <w:rFonts w:cs="Arial" w:ascii="Arial" w:hAnsi="Arial"/>
          <w:sz w:val="21"/>
          <w:szCs w:val="21"/>
        </w:rPr>
        <w:t xml:space="preserve"> dojav</w:t>
      </w:r>
      <w:r>
        <w:rPr>
          <w:rFonts w:cs="Arial" w:ascii="Arial" w:hAnsi="Arial"/>
          <w:sz w:val="21"/>
          <w:szCs w:val="21"/>
        </w:rPr>
        <w:t>ljuju.</w:t>
      </w:r>
      <w:r>
        <w:rPr>
          <w:rFonts w:cs="Arial" w:ascii="Arial" w:hAnsi="Arial"/>
          <w:sz w:val="21"/>
          <w:szCs w:val="21"/>
        </w:rPr>
        <w:t xml:space="preserve"> lokacije na kojima su uočene žive jedinke plemenite periske </w:t>
      </w:r>
      <w:r>
        <w:rPr>
          <w:rFonts w:cs="Arial" w:ascii="Arial" w:hAnsi="Arial"/>
          <w:sz w:val="21"/>
          <w:szCs w:val="21"/>
        </w:rPr>
        <w:t>te ih je u Jadranu registrirano svega desetak što ukazuje na izuzetnu važnost ovog nalaza.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Očuvanost i budućnost ovog mediteranskog endemskog školjkaša, kako u Jadranu, tako i u cijelom Mediteranu je nesigurna. Međunarodna unija za očuvanje prirode (IUCN) je u listopadu 2019. godine plemenitu perisku svrstala u kategoriju „kritično ugroženih vrsta“ (CR).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Tijeloteksta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Plemenita periska (</w:t>
      </w:r>
      <w:r>
        <w:rPr>
          <w:rFonts w:ascii="Arial" w:hAnsi="Arial"/>
          <w:i/>
          <w:sz w:val="21"/>
          <w:szCs w:val="21"/>
        </w:rPr>
        <w:t>Pinna nobilis</w:t>
      </w:r>
      <w:r>
        <w:rPr>
          <w:rFonts w:ascii="Arial" w:hAnsi="Arial"/>
          <w:sz w:val="21"/>
          <w:szCs w:val="21"/>
        </w:rPr>
        <w:t>) je strogo zaštićena vrsta u Hrvatskoj sukladno Zakonu o zaštiti prirode i Pravilniku o strogo zaštićenim vrstama, što uključuje zaštitu vrste i njenih staništa. Plemenita periska nalazi se i na popisu vrsta Dodatka IV Direktive 92/43/EEZ o zaštiti prirodnih staništa i divljih biljnih i životinjskih vrsta (Direktive o staništima), stoga je njena stroga zaštita i očuvanje populacija u povoljnom stanju obveza svih država članica Europske unije (EU). Također, vrsta je navedena u Dodatku II Protokola o posebno zaštićenim područjima i biološkoj raznolikosti u Sredozemlju – Konvencije o zaštiti Sredozemnog mora od onečišćavanja (Barcelonska konvencija).</w:t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shd w:fill="FFFFFF" w:val="clear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Radi se o izuzetno plitkom moru što podrazumijeva da bi se zbog luke radikalno moralo uništiti (arheološki i ekološki) zaštićeno podmorje, pa se nameće pitanje zašto to dozvoliti  kad je u sklopu plana Grada Novigrada već predviđena velika luka u Antenalu (350 vezova), već postoji luka u Novigradu (450 vezova) i samoj Dajli kod samostana (udaljena od planirane luke Dajla-Belveder 985 m).</w:t>
      </w:r>
    </w:p>
    <w:p>
      <w:pPr>
        <w:pStyle w:val="Normal"/>
        <w:shd w:fill="FFFFFF" w:val="clear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fill="FFFFFF" w:val="clear"/>
        <w:jc w:val="both"/>
        <w:rPr/>
      </w:pPr>
      <w:r>
        <w:rPr>
          <w:rFonts w:cs="Arial" w:ascii="Arial" w:hAnsi="Arial"/>
          <w:sz w:val="21"/>
          <w:szCs w:val="21"/>
        </w:rPr>
        <w:t>Građani koji žive u neposrednoj blizini buduće zahvata uložili su i prigovor i žalbu na izdanu građevinsku dozvolu Grad</w:t>
      </w:r>
      <w:r>
        <w:rPr>
          <w:rFonts w:cs="Arial" w:ascii="Arial" w:hAnsi="Arial"/>
          <w:sz w:val="21"/>
          <w:szCs w:val="21"/>
        </w:rPr>
        <w:t xml:space="preserve">u </w:t>
      </w:r>
      <w:r>
        <w:rPr>
          <w:rFonts w:cs="Arial" w:ascii="Arial" w:hAnsi="Arial"/>
          <w:sz w:val="21"/>
          <w:szCs w:val="21"/>
        </w:rPr>
        <w:t xml:space="preserve">Novigradu koja im je odbijena, te su se okupili i zajedno 12.4. </w:t>
      </w:r>
      <w:r>
        <w:rPr>
          <w:rFonts w:cs="Arial" w:ascii="Arial" w:hAnsi="Arial"/>
          <w:sz w:val="21"/>
          <w:szCs w:val="21"/>
        </w:rPr>
        <w:t xml:space="preserve">predali i </w:t>
      </w: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žalbu </w:t>
      </w:r>
      <w:r>
        <w:rPr>
          <w:rFonts w:cs="Arial" w:ascii="Arial" w:hAnsi="Arial"/>
          <w:sz w:val="21"/>
          <w:szCs w:val="21"/>
        </w:rPr>
        <w:t xml:space="preserve"> Ministarstvu navodeći sve argumente. Ovo su posljednji koraci u borbi za uvalu </w:t>
      </w:r>
      <w:r>
        <w:rPr>
          <w:rFonts w:cs="Arial" w:ascii="Arial" w:hAnsi="Arial"/>
          <w:sz w:val="21"/>
          <w:szCs w:val="21"/>
        </w:rPr>
        <w:t xml:space="preserve">nakon godina i godina sudjelovanja u svim postupcima, slanja primjedbi dopisa, organiziranja konferencija i prosvjeda  no, </w:t>
      </w: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kako kažu građane ne i zadnji koraci!</w:t>
      </w:r>
    </w:p>
    <w:p>
      <w:pPr>
        <w:pStyle w:val="Normal"/>
        <w:shd w:fill="FFFFFF" w:val="clear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hd w:fill="FFFFFF" w:val="clear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tabs>
          <w:tab w:val="clear" w:pos="709"/>
          <w:tab w:val="left" w:pos="6225" w:leader="none"/>
        </w:tabs>
        <w:rPr>
          <w:b/>
          <w:b/>
          <w:bCs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ab/>
        <w:tab/>
        <w:tab/>
        <w:t>Irena Burba</w:t>
      </w:r>
    </w:p>
    <w:p>
      <w:pPr>
        <w:pStyle w:val="Normal"/>
        <w:widowControl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mob.: +385 99 70 58 210</w:t>
      </w:r>
    </w:p>
    <w:p>
      <w:pPr>
        <w:pStyle w:val="Normal"/>
        <w:widowControl/>
        <w:jc w:val="right"/>
        <w:rPr/>
      </w:pPr>
      <w:r>
        <w:rPr>
          <w:rFonts w:cs="Arial" w:ascii="Arial" w:hAnsi="Arial"/>
          <w:b/>
          <w:bCs/>
          <w:color w:val="000080"/>
          <w:sz w:val="21"/>
          <w:szCs w:val="21"/>
        </w:rPr>
        <w:t>e-mail: ured</w:t>
      </w:r>
      <w:r>
        <w:rPr>
          <w:rFonts w:cs="Arial" w:ascii="Arial" w:hAnsi="Arial"/>
          <w:b/>
          <w:bCs/>
          <w:color w:val="000080"/>
          <w:sz w:val="21"/>
          <w:szCs w:val="21"/>
          <w:u w:val="single"/>
        </w:rPr>
        <w:t>@zelena-istra.hr</w:t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/>
        </w:rPr>
      </w:pPr>
      <w:r>
        <w:rPr>
          <w:rFonts w:ascii="Arial" w:hAnsi="Arial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5092700</wp:posOffset>
            </wp:positionH>
            <wp:positionV relativeFrom="paragraph">
              <wp:posOffset>45720</wp:posOffset>
            </wp:positionV>
            <wp:extent cx="1010285" cy="476885"/>
            <wp:effectExtent l="0" t="0" r="0" b="0"/>
            <wp:wrapSquare wrapText="largest"/>
            <wp:docPr id="2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20" t="-939" r="-520" b="-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 w:cs="arial"/>
          <w:b w:val="false"/>
          <w:b w:val="false"/>
          <w:bCs w:val="false"/>
          <w:color w:val="00000A"/>
          <w:sz w:val="21"/>
          <w:szCs w:val="21"/>
          <w:u w:val="none"/>
        </w:rPr>
      </w:pPr>
      <w:r>
        <w:rPr>
          <w:rFonts w:cs="arial" w:ascii="Arial" w:hAnsi="Arial"/>
          <w:b w:val="false"/>
          <w:bCs w:val="false"/>
          <w:color w:val="00000A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6225" w:leader="none"/>
        </w:tabs>
        <w:rPr>
          <w:rFonts w:ascii="Arial" w:hAnsi="Arial" w:cs="arial"/>
          <w:b w:val="false"/>
          <w:b w:val="false"/>
          <w:bCs w:val="false"/>
          <w:color w:val="00000A"/>
          <w:sz w:val="21"/>
          <w:szCs w:val="21"/>
          <w:u w:val="none"/>
        </w:rPr>
      </w:pPr>
      <w:r>
        <w:rPr>
          <w:rFonts w:cs="arial" w:ascii="Arial" w:hAnsi="Arial"/>
          <w:b w:val="false"/>
          <w:bCs w:val="false"/>
          <w:color w:val="00000A"/>
          <w:sz w:val="21"/>
          <w:szCs w:val="21"/>
          <w:u w:val="none"/>
        </w:rPr>
      </w:r>
    </w:p>
    <w:p>
      <w:pPr>
        <w:pStyle w:val="Normal"/>
        <w:tabs>
          <w:tab w:val="clear" w:pos="709"/>
          <w:tab w:val="left" w:pos="6225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1"/>
          <w:numId w:val="2"/>
        </w:num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</w:r>
    </w:p>
    <w:p>
      <w:pPr>
        <w:pStyle w:val="Stilnaslova2"/>
        <w:numPr>
          <w:ilvl w:val="1"/>
          <w:numId w:val="2"/>
        </w:numPr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Stilnaslova2"/>
        <w:numPr>
          <w:ilvl w:val="1"/>
          <w:numId w:val="2"/>
        </w:numPr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left"/>
        <w:rPr>
          <w:rFonts w:ascii="Arial" w:hAnsi="Arial" w:cs="arial"/>
          <w:b w:val="false"/>
          <w:b w:val="false"/>
          <w:bCs w:val="false"/>
          <w:color w:val="000000"/>
          <w:sz w:val="21"/>
          <w:szCs w:val="21"/>
        </w:rPr>
      </w:pP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</w:r>
    </w:p>
    <w:p>
      <w:pPr>
        <w:pStyle w:val="Normal"/>
        <w:tabs>
          <w:tab w:val="clear" w:pos="709"/>
          <w:tab w:val="left" w:pos="6225" w:leader="none"/>
        </w:tabs>
        <w:jc w:val="left"/>
        <w:rPr>
          <w:rFonts w:ascii="Arial" w:hAnsi="Arial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Stilnaslova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Droid Sans Fallback" w:cs="Lohit Hindi"/>
      <w:color w:val="00000A"/>
      <w:kern w:val="0"/>
      <w:sz w:val="24"/>
      <w:szCs w:val="24"/>
      <w:lang w:val="hr-HR" w:eastAsia="zh-CN" w:bidi="hi-IN"/>
    </w:rPr>
  </w:style>
  <w:style w:type="paragraph" w:styleId="Stilnaslova2">
    <w:name w:val="Heading 2"/>
    <w:basedOn w:val="Stilnaslova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Simbolinumeriranja">
    <w:name w:val="Simboli numeriranja"/>
    <w:qFormat/>
    <w:rPr/>
  </w:style>
  <w:style w:type="character" w:styleId="Isticanje">
    <w:name w:val="Isticanje"/>
    <w:qFormat/>
    <w:rPr>
      <w:i/>
      <w:iCs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Tijeloteksta">
    <w:name w:val="Body Text"/>
    <w:basedOn w:val="Normal"/>
    <w:pPr>
      <w:spacing w:before="0" w:after="120"/>
    </w:pPr>
    <w:rPr/>
  </w:style>
  <w:style w:type="paragraph" w:styleId="Popis">
    <w:name w:val="List"/>
    <w:basedOn w:val="Tijeloteksta"/>
    <w:pPr/>
    <w:rPr>
      <w:rFonts w:cs="Lohit Hindi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Hindi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pPr>
      <w:keepNext w:val="true"/>
      <w:spacing w:before="240" w:after="120"/>
    </w:pPr>
    <w:rPr>
      <w:rFonts w:ascii="Arial" w:hAnsi="Arial" w:eastAsia="Droid Sans Fallback" w:cs="Lohit Hindi"/>
      <w:sz w:val="28"/>
      <w:szCs w:val="28"/>
    </w:rPr>
  </w:style>
  <w:style w:type="paragraph" w:styleId="Opis">
    <w:name w:val="Opis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itati">
    <w:name w:val="Citati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udruga-zelena-istra@pu.t-com.hr" TargetMode="External"/><Relationship Id="rId4" Type="http://schemas.openxmlformats.org/officeDocument/2006/relationships/hyperlink" Target="http://www.zelena-istra.hr/" TargetMode="External"/><Relationship Id="rId5" Type="http://schemas.openxmlformats.org/officeDocument/2006/relationships/image" Target="media/image2.jpe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38840</TotalTime>
  <Application>LibreOffice/6.4.7.2$Linux_X86_64 LibreOffice_project/40$Build-2</Application>
  <Pages>2</Pages>
  <Words>679</Words>
  <Characters>3858</Characters>
  <CharactersWithSpaces>4560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2015-01-13T11:01:44Z</dcterms:created>
  <dc:creator/>
  <dc:description/>
  <dc:language>hr-HR</dc:language>
  <cp:lastModifiedBy>Irena Burba</cp:lastModifiedBy>
  <cp:lastPrinted>2024-04-12T11:35:49Z</cp:lastPrinted>
  <dcterms:modified xsi:type="dcterms:W3CDTF">2024-04-15T09:41:02Z</dcterms:modified>
  <cp:revision>29</cp:revision>
  <dc:subject/>
  <dc:title/>
</cp:coreProperties>
</file>